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F52" w:rsidRPr="00C17999" w:rsidRDefault="009423EB">
      <w:pPr>
        <w:rPr>
          <w:rFonts w:ascii="方正仿宋_GBK" w:eastAsia="方正仿宋_GBK" w:hint="eastAsia"/>
          <w:b/>
          <w:sz w:val="32"/>
          <w:szCs w:val="32"/>
        </w:rPr>
      </w:pPr>
      <w:r w:rsidRPr="00C17999">
        <w:rPr>
          <w:rFonts w:ascii="方正仿宋_GBK" w:eastAsia="方正仿宋_GBK" w:hint="eastAsia"/>
          <w:b/>
          <w:sz w:val="32"/>
          <w:szCs w:val="32"/>
        </w:rPr>
        <w:t>党中央国务院决策部署</w:t>
      </w:r>
    </w:p>
    <w:p w:rsidR="00702F52" w:rsidRPr="00C17999" w:rsidRDefault="009423EB"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习近平总书记在2021年2月全国脱贫攻坚总结表彰大会上讲话中指出，要压紧压实各级党委和政府巩固脱贫攻坚成果责任，坚决守住不发生规模性返贫的底线。</w:t>
      </w:r>
    </w:p>
    <w:p w:rsidR="00702F52" w:rsidRPr="00C17999" w:rsidRDefault="009423EB"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2021年12月26日中央农村工作会议上指出，乡村振兴的前提是巩固脱贫攻坚成果，要持续抓紧抓好，让脱贫群众生活更上一层楼。要持续推动同乡村振兴战略有机衔接，确保不发生规模性返贫，切实维护和巩固脱贫攻坚战的伟大成就。</w:t>
      </w:r>
    </w:p>
    <w:p w:rsidR="00702F52" w:rsidRPr="00C17999" w:rsidRDefault="009423EB"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今年3月17日，习近平总书记在听取2021年度巩固拓展脱贫攻坚成果同乡村振兴有效衔接考核评估情况汇报时，对用好评估结果、认真抓好资金使用管理不规范等问题整改，以及完善监测帮扶机制等方面工作提出明确要求。</w:t>
      </w:r>
    </w:p>
    <w:p w:rsidR="00702F52" w:rsidRPr="00C17999" w:rsidRDefault="009423EB"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李克强总理在国务院常务会议上强调，要完善防止返贫监测帮扶机制，坚决守住不发生规模性返贫的底线，要对巩固脱贫攻坚成果保持支持力度。</w:t>
      </w:r>
    </w:p>
    <w:p w:rsidR="00702F52" w:rsidRPr="00C17999" w:rsidRDefault="009423EB"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2022年3月27日，胡春华副总理在全国巩固拓展脱贫攻坚成果同乡村振兴有效衔接暨乡村振兴重点帮扶县工作推进会的讲话中指出，脱贫攻坚战取得全面胜利后，我们的使命就是全面推进乡村振兴。</w:t>
      </w:r>
      <w:r w:rsidR="00C17999" w:rsidRPr="00C17999">
        <w:rPr>
          <w:rFonts w:ascii="方正仿宋_GBK" w:eastAsia="方正仿宋_GBK" w:hint="eastAsia"/>
          <w:sz w:val="32"/>
          <w:szCs w:val="32"/>
        </w:rPr>
        <w:t>党中央最关心的一件大事</w:t>
      </w:r>
      <w:r w:rsidR="00C17999">
        <w:rPr>
          <w:rFonts w:ascii="方正仿宋_GBK" w:eastAsia="方正仿宋_GBK" w:hint="eastAsia"/>
          <w:sz w:val="32"/>
          <w:szCs w:val="32"/>
        </w:rPr>
        <w:t>巩固拓展脱贫攻坚成果、不发生规模性返贫</w:t>
      </w:r>
      <w:r w:rsidRPr="00C17999">
        <w:rPr>
          <w:rFonts w:ascii="方正仿宋_GBK" w:eastAsia="方正仿宋_GBK" w:hint="eastAsia"/>
          <w:sz w:val="32"/>
          <w:szCs w:val="32"/>
        </w:rPr>
        <w:t>，要把增加脱贫群众收入作为根本措施，不断缩小收入差距、发展差距，确保兜底保障水平稳步提高，确保“三保障”和饮水安全保障水平持续巩固提升。各地区各有关部门要</w:t>
      </w:r>
      <w:r w:rsidRPr="00C17999">
        <w:rPr>
          <w:rFonts w:ascii="方正仿宋_GBK" w:eastAsia="方正仿宋_GBK" w:hint="eastAsia"/>
          <w:sz w:val="32"/>
          <w:szCs w:val="32"/>
        </w:rPr>
        <w:lastRenderedPageBreak/>
        <w:t>把巩固拓展脱贫攻坚成果，摆在突出位置抓紧抓好，确保不出现规模性返贫，在此基础上努力让脱贫群众生活更上一层楼，坚决维护和巩固脱贫攻坚战的伟大成就。</w:t>
      </w:r>
      <w:r w:rsidR="00DF1E0D" w:rsidRPr="00C17999">
        <w:rPr>
          <w:rFonts w:ascii="方正仿宋_GBK" w:eastAsia="方正仿宋_GBK" w:hint="eastAsia"/>
          <w:b/>
          <w:bCs/>
          <w:sz w:val="32"/>
          <w:szCs w:val="32"/>
        </w:rPr>
        <w:t>（各类巡视、督查、考核巩固拓展脱贫攻坚成果，这项内容必不可少）</w:t>
      </w:r>
    </w:p>
    <w:p w:rsidR="00DF1E0D" w:rsidRPr="00C17999" w:rsidRDefault="00DF1E0D" w:rsidP="00C17999">
      <w:pPr>
        <w:ind w:firstLineChars="196" w:firstLine="630"/>
        <w:rPr>
          <w:rFonts w:ascii="方正仿宋_GBK" w:eastAsia="方正仿宋_GBK" w:hint="eastAsia"/>
          <w:sz w:val="32"/>
          <w:szCs w:val="32"/>
        </w:rPr>
      </w:pPr>
      <w:r w:rsidRPr="00C17999">
        <w:rPr>
          <w:rFonts w:ascii="方正仿宋_GBK" w:eastAsia="方正仿宋_GBK" w:hint="eastAsia"/>
          <w:b/>
          <w:bCs/>
          <w:sz w:val="32"/>
          <w:szCs w:val="32"/>
        </w:rPr>
        <w:t>2020年12月16日，中共中央  国务院出台了《关于实现巩固拓展脱贫攻坚成果同乡村振兴有效衔接的意见》（中发【2020】30号）。     文件明确：打赢脱贫攻坚战、全面建成小康社会后，要在巩固拓展脱贫攻坚成果的基础上，做好乡村振兴这篇大文章，实现巩固拓展脱贫攻坚成果同乡村振兴有效衔接。（注：</w:t>
      </w:r>
      <w:r w:rsidRPr="00C17999">
        <w:rPr>
          <w:rFonts w:ascii="方正仿宋_GBK" w:eastAsia="方正仿宋_GBK" w:hint="eastAsia"/>
          <w:b/>
          <w:bCs/>
          <w:sz w:val="32"/>
          <w:szCs w:val="32"/>
          <w:u w:val="single"/>
        </w:rPr>
        <w:t>设置5年过渡期，要求有效衔接期间在指导思想上要将巩固拓展脱贫攻坚成果放在突出位置。</w:t>
      </w:r>
      <w:r w:rsidR="00C17999">
        <w:rPr>
          <w:rFonts w:ascii="方正仿宋_GBK" w:eastAsia="方正仿宋_GBK" w:hint="eastAsia"/>
          <w:b/>
          <w:bCs/>
          <w:sz w:val="32"/>
          <w:szCs w:val="32"/>
          <w:u w:val="single"/>
        </w:rPr>
        <w:t>）</w:t>
      </w:r>
      <w:r w:rsidRPr="00C17999">
        <w:rPr>
          <w:rFonts w:ascii="方正仿宋_GBK" w:eastAsia="方正仿宋_GBK" w:hint="eastAsia"/>
          <w:b/>
          <w:bCs/>
          <w:sz w:val="32"/>
          <w:szCs w:val="32"/>
          <w:u w:val="single"/>
        </w:rPr>
        <w:t xml:space="preserve"> </w:t>
      </w:r>
    </w:p>
    <w:p w:rsidR="00702F52" w:rsidRPr="00C17999" w:rsidRDefault="00702F52">
      <w:pPr>
        <w:rPr>
          <w:rFonts w:ascii="方正仿宋_GBK" w:eastAsia="方正仿宋_GBK" w:hint="eastAsia"/>
          <w:sz w:val="32"/>
          <w:szCs w:val="32"/>
        </w:rPr>
      </w:pPr>
    </w:p>
    <w:p w:rsidR="00702F52" w:rsidRPr="00C17999" w:rsidRDefault="009423EB">
      <w:pPr>
        <w:rPr>
          <w:rFonts w:ascii="方正仿宋_GBK" w:eastAsia="方正仿宋_GBK" w:hint="eastAsia"/>
          <w:b/>
          <w:sz w:val="32"/>
          <w:szCs w:val="32"/>
        </w:rPr>
      </w:pPr>
      <w:r w:rsidRPr="00C17999">
        <w:rPr>
          <w:rFonts w:ascii="方正仿宋_GBK" w:eastAsia="方正仿宋_GBK" w:hint="eastAsia"/>
          <w:b/>
          <w:sz w:val="32"/>
          <w:szCs w:val="32"/>
        </w:rPr>
        <w:t>市局安排部署：</w:t>
      </w:r>
    </w:p>
    <w:p w:rsidR="00DF1E0D" w:rsidRPr="00C17999" w:rsidRDefault="009423EB"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今年年初开开始，市局就开始谋划防止返贫监测和帮扶工作，起草制定工作方案，并多次争求区县的意见。4月18日、19日召开了大规模的培训，进一步解读了工作方案，就开展“三大”行动做了详细的安排。</w:t>
      </w:r>
      <w:r w:rsidR="00DF1E0D" w:rsidRPr="00C17999">
        <w:rPr>
          <w:rFonts w:ascii="方正仿宋_GBK" w:eastAsia="方正仿宋_GBK" w:hint="eastAsia"/>
          <w:b/>
          <w:bCs/>
          <w:sz w:val="32"/>
          <w:szCs w:val="32"/>
        </w:rPr>
        <w:t xml:space="preserve">市委、市政府高度重视，各级主要领导、分管领导反复强调，相关行业部门相互配合，做了大量工作。 </w:t>
      </w:r>
    </w:p>
    <w:p w:rsidR="00DF1E0D" w:rsidRPr="00C17999" w:rsidRDefault="00DF1E0D" w:rsidP="00DF1E0D">
      <w:pPr>
        <w:rPr>
          <w:rFonts w:ascii="方正仿宋_GBK" w:eastAsia="方正仿宋_GBK" w:hint="eastAsia"/>
          <w:sz w:val="32"/>
          <w:szCs w:val="32"/>
        </w:rPr>
      </w:pPr>
      <w:r w:rsidRPr="00C17999">
        <w:rPr>
          <w:rFonts w:ascii="方正仿宋_GBK" w:eastAsia="方正仿宋_GBK" w:hint="eastAsia"/>
          <w:b/>
          <w:bCs/>
          <w:sz w:val="32"/>
          <w:szCs w:val="32"/>
        </w:rPr>
        <w:t xml:space="preserve">    2019年，出台了《重庆市防贫返贫监测预警办法（试行）》（渝扶组办发[2019]57号）；        </w:t>
      </w:r>
    </w:p>
    <w:p w:rsidR="00DF1E0D" w:rsidRPr="00C17999" w:rsidRDefault="00DF1E0D" w:rsidP="00DF1E0D">
      <w:pPr>
        <w:rPr>
          <w:rFonts w:ascii="方正仿宋_GBK" w:eastAsia="方正仿宋_GBK" w:hint="eastAsia"/>
          <w:sz w:val="32"/>
          <w:szCs w:val="32"/>
        </w:rPr>
      </w:pPr>
      <w:r w:rsidRPr="00C17999">
        <w:rPr>
          <w:rFonts w:ascii="方正仿宋_GBK" w:eastAsia="方正仿宋_GBK" w:hint="eastAsia"/>
          <w:b/>
          <w:bCs/>
          <w:sz w:val="32"/>
          <w:szCs w:val="32"/>
        </w:rPr>
        <w:t xml:space="preserve">    2020年，领导小组印发了《关于建立防止返贫监测和帮扶机制的实施意见》（渝扶组发〔2020〕10号）；4月建立按月开展行</w:t>
      </w:r>
      <w:r w:rsidRPr="00C17999">
        <w:rPr>
          <w:rFonts w:ascii="方正仿宋_GBK" w:eastAsia="方正仿宋_GBK" w:hint="eastAsia"/>
          <w:b/>
          <w:bCs/>
          <w:sz w:val="32"/>
          <w:szCs w:val="32"/>
        </w:rPr>
        <w:lastRenderedPageBreak/>
        <w:t xml:space="preserve">业大数据比对筛查预警机制；        </w:t>
      </w:r>
    </w:p>
    <w:p w:rsidR="00DF1E0D" w:rsidRPr="00C17999" w:rsidRDefault="00DF1E0D" w:rsidP="00DF1E0D">
      <w:pPr>
        <w:rPr>
          <w:rFonts w:ascii="方正仿宋_GBK" w:eastAsia="方正仿宋_GBK" w:hint="eastAsia"/>
          <w:sz w:val="32"/>
          <w:szCs w:val="32"/>
        </w:rPr>
      </w:pPr>
      <w:r w:rsidRPr="00C17999">
        <w:rPr>
          <w:rFonts w:ascii="方正仿宋_GBK" w:eastAsia="方正仿宋_GBK" w:hint="eastAsia"/>
          <w:b/>
          <w:bCs/>
          <w:sz w:val="32"/>
          <w:szCs w:val="32"/>
        </w:rPr>
        <w:t xml:space="preserve">    2021年，扶贫办牵头组织深度调研；联合重庆调查总队开展脱贫成效跟踪监测；将防止返贫监测和帮扶工作纳入市级党政机关目标管理绩效考核职能绩效目标，纳入巩固拓展脱贫攻坚成果考核范畴；建立了“按月比对、按季调度、按年评估”工作机制，出台了渝委农组发（2021）6号文件，出台了“预警筛查”和“动态管理”两个办法，市级行业部门对应出台了一系列文件。 </w:t>
      </w:r>
    </w:p>
    <w:p w:rsidR="00DF1E0D" w:rsidRPr="00C17999" w:rsidRDefault="00DF1E0D" w:rsidP="00DF1E0D">
      <w:pPr>
        <w:rPr>
          <w:rFonts w:ascii="方正仿宋_GBK" w:eastAsia="方正仿宋_GBK" w:hint="eastAsia"/>
          <w:sz w:val="32"/>
          <w:szCs w:val="32"/>
        </w:rPr>
      </w:pPr>
      <w:r w:rsidRPr="00C17999">
        <w:rPr>
          <w:rFonts w:ascii="方正仿宋_GBK" w:eastAsia="方正仿宋_GBK" w:hint="eastAsia"/>
          <w:b/>
          <w:bCs/>
          <w:sz w:val="32"/>
          <w:szCs w:val="32"/>
        </w:rPr>
        <w:t xml:space="preserve">    2022年，乡村振兴局牵头启动了“大走访大排查大整改”行动，</w:t>
      </w:r>
      <w:r w:rsidR="005E2967">
        <w:rPr>
          <w:rFonts w:ascii="方正仿宋_GBK" w:eastAsia="方正仿宋_GBK" w:hint="eastAsia"/>
          <w:b/>
          <w:bCs/>
          <w:sz w:val="32"/>
          <w:szCs w:val="32"/>
        </w:rPr>
        <w:t>在国家安排的对防止返贫监测帮扶集中排查的基础上，另外在对象上增加了，即所有农户。增加了内容，即“三保障”及饮水安全巩固提升、产业、就业、厕所革命和问题整改等五个方面。</w:t>
      </w:r>
      <w:r w:rsidRPr="00C17999">
        <w:rPr>
          <w:rFonts w:ascii="方正仿宋_GBK" w:eastAsia="方正仿宋_GBK" w:hint="eastAsia"/>
          <w:b/>
          <w:bCs/>
          <w:sz w:val="32"/>
          <w:szCs w:val="32"/>
        </w:rPr>
        <w:t xml:space="preserve"> </w:t>
      </w:r>
    </w:p>
    <w:p w:rsidR="00702F52" w:rsidRPr="005E2967" w:rsidRDefault="00702F52">
      <w:pPr>
        <w:rPr>
          <w:rFonts w:ascii="方正仿宋_GBK" w:eastAsia="方正仿宋_GBK" w:hint="eastAsia"/>
          <w:sz w:val="32"/>
          <w:szCs w:val="32"/>
        </w:rPr>
      </w:pPr>
    </w:p>
    <w:p w:rsidR="00702F52" w:rsidRPr="005675F0" w:rsidRDefault="009423EB">
      <w:pPr>
        <w:rPr>
          <w:rFonts w:ascii="方正仿宋_GBK" w:eastAsia="方正仿宋_GBK" w:hint="eastAsia"/>
          <w:b/>
          <w:sz w:val="32"/>
          <w:szCs w:val="32"/>
        </w:rPr>
      </w:pPr>
      <w:r w:rsidRPr="005675F0">
        <w:rPr>
          <w:rFonts w:ascii="方正仿宋_GBK" w:eastAsia="方正仿宋_GBK" w:hint="eastAsia"/>
          <w:b/>
          <w:sz w:val="32"/>
          <w:szCs w:val="32"/>
        </w:rPr>
        <w:t>区级：</w:t>
      </w:r>
    </w:p>
    <w:p w:rsidR="00702F52" w:rsidRPr="00C17999" w:rsidRDefault="009423EB"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今年我区继续将防止返贫动态监测和帮扶工作成效作为巩固拓展脱贫攻坚成果后评估的重要内容，纳入各乡镇街道乡村振兴战略实绩考核范围，并强化考核结果运用。</w:t>
      </w:r>
    </w:p>
    <w:p w:rsidR="00702F52" w:rsidRPr="00C17999" w:rsidRDefault="009423EB"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今年我们调整了监测范围，2022年度我市防止返贫监测对象的监测范围调整为7000元。一季度新识别监测对象4户9人。涪陵区现有监测对象842户2203人，其中，脱贫不稳定户612户1653人，边缘易致贫户199户466人，突发严重困难户31户84人。</w:t>
      </w:r>
    </w:p>
    <w:p w:rsidR="00702F52" w:rsidRPr="00C17999" w:rsidRDefault="00702F52">
      <w:pPr>
        <w:rPr>
          <w:rFonts w:ascii="方正仿宋_GBK" w:eastAsia="方正仿宋_GBK" w:hint="eastAsia"/>
          <w:sz w:val="32"/>
          <w:szCs w:val="32"/>
        </w:rPr>
      </w:pPr>
    </w:p>
    <w:p w:rsidR="00702F52" w:rsidRPr="005675F0" w:rsidRDefault="009423EB">
      <w:pPr>
        <w:rPr>
          <w:rFonts w:ascii="方正仿宋_GBK" w:eastAsia="方正仿宋_GBK" w:hint="eastAsia"/>
          <w:b/>
          <w:sz w:val="32"/>
          <w:szCs w:val="32"/>
          <w:u w:val="single"/>
        </w:rPr>
      </w:pPr>
      <w:r w:rsidRPr="005675F0">
        <w:rPr>
          <w:rFonts w:ascii="方正仿宋_GBK" w:eastAsia="方正仿宋_GBK" w:hint="eastAsia"/>
          <w:b/>
          <w:sz w:val="32"/>
          <w:szCs w:val="32"/>
          <w:u w:val="single"/>
        </w:rPr>
        <w:lastRenderedPageBreak/>
        <w:t>暗查暗访：</w:t>
      </w:r>
    </w:p>
    <w:p w:rsidR="00D256A9" w:rsidRPr="00C17999" w:rsidRDefault="00D256A9" w:rsidP="00C17999">
      <w:pPr>
        <w:ind w:firstLineChars="150" w:firstLine="480"/>
        <w:rPr>
          <w:rFonts w:ascii="方正仿宋_GBK" w:eastAsia="方正仿宋_GBK" w:hint="eastAsia"/>
          <w:sz w:val="32"/>
          <w:szCs w:val="32"/>
        </w:rPr>
      </w:pPr>
      <w:r w:rsidRPr="00C17999">
        <w:rPr>
          <w:rFonts w:ascii="方正仿宋_GBK" w:eastAsia="方正仿宋_GBK" w:hint="eastAsia"/>
          <w:sz w:val="32"/>
          <w:szCs w:val="32"/>
        </w:rPr>
        <w:t>按照局党组安排，我们于3月至4月初，采取四不两直、进村入户的方式对部分乡镇街道防止防贫监测帮扶工作进行了暗查暗访，就暗访发现问题及时口头或书面反馈给了对应乡镇街道，要求其及时核查、整改，并将核查整改情况报送乡村振兴局。</w:t>
      </w:r>
    </w:p>
    <w:p w:rsidR="00D256A9" w:rsidRPr="00C17999" w:rsidRDefault="00D256A9" w:rsidP="00C17999">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暗访组实地走访了清溪镇、南沱镇、新妙镇、增福镇、白涛街道、焦石镇、同乐镇、青羊镇、江东街道、罗云镇、龙潭镇、百胜镇、石沱镇、江北街道等14个乡镇街道，35个村（居），其中脱贫村15个，入户走访农户178户。重点关注了未消除风险监测对象、已消除风险监测对象及暗访过程中群众反映家庭住房破旧、经济收入相对较少、家庭刚性支出较大的农户。</w:t>
      </w:r>
    </w:p>
    <w:p w:rsidR="00D256A9" w:rsidRPr="00C17999" w:rsidRDefault="00D256A9">
      <w:pPr>
        <w:rPr>
          <w:rFonts w:ascii="方正仿宋_GBK" w:eastAsia="方正仿宋_GBK" w:hint="eastAsia"/>
          <w:sz w:val="32"/>
          <w:szCs w:val="32"/>
        </w:rPr>
      </w:pPr>
      <w:r w:rsidRPr="00C17999">
        <w:rPr>
          <w:rFonts w:ascii="方正仿宋_GBK" w:eastAsia="方正仿宋_GBK" w:hint="eastAsia"/>
          <w:sz w:val="32"/>
          <w:szCs w:val="32"/>
        </w:rPr>
        <w:t xml:space="preserve">  </w:t>
      </w:r>
    </w:p>
    <w:p w:rsidR="00702F52" w:rsidRPr="005675F0" w:rsidRDefault="009423EB">
      <w:pPr>
        <w:rPr>
          <w:rFonts w:ascii="方正仿宋_GBK" w:eastAsia="方正仿宋_GBK" w:hint="eastAsia"/>
          <w:b/>
          <w:sz w:val="32"/>
          <w:szCs w:val="32"/>
        </w:rPr>
      </w:pPr>
      <w:r w:rsidRPr="005675F0">
        <w:rPr>
          <w:rFonts w:ascii="方正仿宋_GBK" w:eastAsia="方正仿宋_GBK" w:hint="eastAsia"/>
          <w:b/>
          <w:sz w:val="32"/>
          <w:szCs w:val="32"/>
        </w:rPr>
        <w:t>政策落实方面：</w:t>
      </w: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t>一是存在“人住危房”或“危房围封不彻底”现象。同乐镇寿坝村6组一般农户王和皆，居住在张贴有危房标识牌的房屋里。青羊镇三合村4组余绍元夫妻两人（两人均享受社保），居住在张贴危房标识牌的房屋里。白涛街道高峰寺村一般农户林玉祥，住房漏雨存在安全隐患。龙潭镇星光村1组一般农户杨道明住房存在安全隐患。百胜镇隆兴村10组一般农户施朝亮，用存在安全隐患的老屋作为厨房。新妙镇岔河村1组余子奇老两口居住在汪雪芹（长期在城里居住）有安全隐患的老屋。石沱镇光明村3组李顺华厨房存在隐患。青羊镇吴家村6组勾华素，在青羊镇上有住</w:t>
      </w:r>
      <w:r w:rsidRPr="00C17999">
        <w:rPr>
          <w:rFonts w:ascii="方正仿宋_GBK" w:eastAsia="方正仿宋_GBK" w:hint="eastAsia"/>
          <w:sz w:val="32"/>
          <w:szCs w:val="32"/>
        </w:rPr>
        <w:lastRenderedPageBreak/>
        <w:t>房，现住房直观感觉存在一定安全隐患。同乐镇解放村8组一般农户杨忠银，在同乐镇上有住房，原房屋系危房，存在两栖居住现象。铁场村3组杨德友，D级危房改造后未配套厨房，现借用其侄女危房用作厨房。龙潭镇星光村1组一般农户易星贵用危房作为厨房。江北街道北雁村5组吴大木用危房作厨房。</w:t>
      </w:r>
    </w:p>
    <w:p w:rsidR="00702F52" w:rsidRPr="00C17999" w:rsidRDefault="00702F52">
      <w:pPr>
        <w:rPr>
          <w:rFonts w:ascii="方正仿宋_GBK" w:eastAsia="方正仿宋_GBK" w:hint="eastAsia"/>
          <w:sz w:val="32"/>
          <w:szCs w:val="32"/>
        </w:rPr>
      </w:pP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t>二是存在居住临时搭建房屋现象。如：白涛街道高峰寺村5组刘长江在本村居民点有住房，但在已复垦宅基地搭建临时房屋生活。</w:t>
      </w: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t>三是极少数农户反映存在缺水现象。如：焦石镇悦来社区2组刘朝俸、刘廷国、刘建明反映存在缺水现象。江东街道铁场村4组胡顺尧、胡宗文，3组杨德友反映存在缺水现象。</w:t>
      </w: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t>四是疑似存在返贫致贫风险而未纳入监测或“体外循环”现象。如：同乐镇解放村8组脱贫户杨忠林，龙潭镇万众村2组魏天勇。</w:t>
      </w:r>
    </w:p>
    <w:p w:rsidR="00702F52" w:rsidRPr="00C17999" w:rsidRDefault="00702F52">
      <w:pPr>
        <w:rPr>
          <w:rFonts w:ascii="方正仿宋_GBK" w:eastAsia="方正仿宋_GBK" w:hint="eastAsia"/>
          <w:sz w:val="32"/>
          <w:szCs w:val="32"/>
        </w:rPr>
      </w:pPr>
    </w:p>
    <w:p w:rsidR="00702F52" w:rsidRPr="005675F0" w:rsidRDefault="009423EB">
      <w:pPr>
        <w:rPr>
          <w:rFonts w:ascii="方正仿宋_GBK" w:eastAsia="方正仿宋_GBK" w:hint="eastAsia"/>
          <w:b/>
          <w:sz w:val="32"/>
          <w:szCs w:val="32"/>
        </w:rPr>
      </w:pPr>
      <w:r w:rsidRPr="005675F0">
        <w:rPr>
          <w:rFonts w:ascii="方正仿宋_GBK" w:eastAsia="方正仿宋_GBK" w:hint="eastAsia"/>
          <w:b/>
          <w:sz w:val="32"/>
          <w:szCs w:val="32"/>
        </w:rPr>
        <w:t>工作落实方面：</w:t>
      </w: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t>一是少数村居防返贫监测帮扶工作研判会议记录不完善。如：江东街道铁场村、凉水村。</w:t>
      </w: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t>二是少数监测对象不知晓自己家庭是监测户，不知道监测联系人是谁，不清楚享受的主要帮扶措施有哪些。如：焦石镇新井社区5组杨昌敏、7组黄应胜，同乐镇寿坝村6组黎瑞明，罗云镇老龙洞村2组监测户向永生、张绍奎，增福镇延寿6社杨全秀，新妙镇岔河村1组邓付莲、平政村一组田仁生。</w:t>
      </w:r>
    </w:p>
    <w:p w:rsidR="00702F52" w:rsidRPr="00C17999" w:rsidRDefault="009423EB">
      <w:pPr>
        <w:rPr>
          <w:rFonts w:ascii="方正仿宋_GBK" w:eastAsia="方正仿宋_GBK" w:hint="eastAsia"/>
          <w:sz w:val="32"/>
          <w:szCs w:val="32"/>
        </w:rPr>
      </w:pPr>
      <w:r w:rsidRPr="00C17999">
        <w:rPr>
          <w:rFonts w:ascii="方正仿宋_GBK" w:eastAsia="方正仿宋_GBK" w:hint="eastAsia"/>
          <w:sz w:val="32"/>
          <w:szCs w:val="32"/>
        </w:rPr>
        <w:lastRenderedPageBreak/>
        <w:t>三是少数农户人居环境差。如：焦石镇新井社区7组防返贫监测户黄应胜，南沱镇王家湾社区8组张华，清溪镇平原村7组杨荣军，新妙镇岔河村1组邓付莲。</w:t>
      </w:r>
    </w:p>
    <w:p w:rsidR="00702F52" w:rsidRPr="00C17999" w:rsidRDefault="00702F52">
      <w:pPr>
        <w:rPr>
          <w:rFonts w:ascii="方正仿宋_GBK" w:eastAsia="方正仿宋_GBK" w:hint="eastAsia"/>
          <w:sz w:val="32"/>
          <w:szCs w:val="32"/>
        </w:rPr>
      </w:pPr>
      <w:bookmarkStart w:id="0" w:name="_GoBack"/>
      <w:bookmarkEnd w:id="0"/>
    </w:p>
    <w:p w:rsidR="00D256A9" w:rsidRPr="005675F0" w:rsidRDefault="00D256A9">
      <w:pPr>
        <w:rPr>
          <w:rFonts w:ascii="方正仿宋_GBK" w:eastAsia="方正仿宋_GBK" w:hint="eastAsia"/>
          <w:b/>
          <w:sz w:val="32"/>
          <w:szCs w:val="32"/>
          <w:u w:val="single"/>
        </w:rPr>
      </w:pPr>
      <w:r w:rsidRPr="005675F0">
        <w:rPr>
          <w:rFonts w:ascii="方正仿宋_GBK" w:eastAsia="方正仿宋_GBK" w:hint="eastAsia"/>
          <w:b/>
          <w:sz w:val="32"/>
          <w:szCs w:val="32"/>
          <w:u w:val="single"/>
        </w:rPr>
        <w:t>人居环境综合整治：</w:t>
      </w:r>
    </w:p>
    <w:p w:rsidR="00D256A9" w:rsidRPr="00C17999" w:rsidRDefault="00A40323" w:rsidP="005675F0">
      <w:pPr>
        <w:ind w:firstLineChars="200" w:firstLine="643"/>
        <w:rPr>
          <w:rFonts w:ascii="方正仿宋_GBK" w:eastAsia="方正仿宋_GBK" w:hint="eastAsia"/>
          <w:sz w:val="32"/>
          <w:szCs w:val="32"/>
        </w:rPr>
      </w:pPr>
      <w:r w:rsidRPr="005675F0">
        <w:rPr>
          <w:rFonts w:ascii="方正仿宋_GBK" w:eastAsia="方正仿宋_GBK" w:hint="eastAsia"/>
          <w:b/>
          <w:sz w:val="32"/>
          <w:szCs w:val="32"/>
        </w:rPr>
        <w:t>总体要求：</w:t>
      </w:r>
      <w:r w:rsidRPr="00C17999">
        <w:rPr>
          <w:rFonts w:ascii="方正仿宋_GBK" w:eastAsia="方正仿宋_GBK" w:hint="eastAsia"/>
          <w:sz w:val="32"/>
          <w:szCs w:val="32"/>
        </w:rPr>
        <w:t>以习近平新时代中国特色社会主义思想为指导，深入贯彻党的十九大和十九届历次全会精神，深入践行绿水青山就是金山银山理念，以农村厕所革命、生活污水垃圾治理、村容村貌整治提升、长效管护机制建立健全为重点，巩固拓展农村人居环境整治三年行动成果，全面提升农村人居环境质量，让农村环境更整洁，村庄更宜居，生态更优良，乡风更文明，生活更美好，不断提升广大农民群众的幸福感获得感。</w:t>
      </w:r>
    </w:p>
    <w:p w:rsidR="00A40323" w:rsidRPr="00C17999" w:rsidRDefault="00A40323" w:rsidP="005675F0">
      <w:pPr>
        <w:ind w:firstLineChars="200" w:firstLine="643"/>
        <w:rPr>
          <w:rFonts w:ascii="方正仿宋_GBK" w:eastAsia="方正仿宋_GBK" w:hint="eastAsia"/>
          <w:sz w:val="32"/>
          <w:szCs w:val="32"/>
        </w:rPr>
      </w:pPr>
      <w:r w:rsidRPr="005675F0">
        <w:rPr>
          <w:rFonts w:ascii="方正仿宋_GBK" w:eastAsia="方正仿宋_GBK" w:hint="eastAsia"/>
          <w:b/>
          <w:sz w:val="32"/>
          <w:szCs w:val="32"/>
        </w:rPr>
        <w:t>总体目标：</w:t>
      </w:r>
      <w:r w:rsidRPr="00C17999">
        <w:rPr>
          <w:rFonts w:ascii="方正仿宋_GBK" w:eastAsia="方正仿宋_GBK" w:hint="eastAsia"/>
          <w:sz w:val="32"/>
          <w:szCs w:val="32"/>
        </w:rPr>
        <w:t>到2025年，全区361个涉农村（社区）人居环境进一步改善，美丽宜居乡村建设取得新进展。农村卫生厕所更加普及，厕所粪污得到有效治理、资源化利用水平逐步提高；农村生活污水治理率进一步提高，乱排乱倒得到有效管控；农村生活垃圾治理体系向自然村（组）延伸，农村生活垃圾无害化处理水平明显提升，有条件的村庄实现生活垃圾分类、源头减量；农村基础设施布局更加优化，村容村貌进一步提升；长效管护机制初步建立，农村居民环境保护和卫生健康意识进一步增强。</w:t>
      </w:r>
    </w:p>
    <w:p w:rsidR="00CD3279" w:rsidRPr="00C17999" w:rsidRDefault="00CD3279" w:rsidP="005675F0">
      <w:pPr>
        <w:spacing w:line="600" w:lineRule="exact"/>
        <w:ind w:firstLineChars="200" w:firstLine="643"/>
        <w:rPr>
          <w:rFonts w:ascii="方正仿宋_GBK" w:eastAsia="方正仿宋_GBK" w:hAnsi="Times New Roman" w:cs="Times New Roman" w:hint="eastAsia"/>
          <w:sz w:val="32"/>
          <w:szCs w:val="32"/>
        </w:rPr>
      </w:pPr>
      <w:r w:rsidRPr="005675F0">
        <w:rPr>
          <w:rFonts w:ascii="方正仿宋_GBK" w:eastAsia="方正仿宋_GBK" w:hAnsi="Times New Roman" w:cs="Times New Roman" w:hint="eastAsia"/>
          <w:b/>
          <w:sz w:val="32"/>
          <w:szCs w:val="32"/>
        </w:rPr>
        <w:t>具体目标。</w:t>
      </w:r>
      <w:r w:rsidRPr="00C17999">
        <w:rPr>
          <w:rFonts w:ascii="方正仿宋_GBK" w:eastAsia="方正仿宋_GBK" w:hAnsi="Times New Roman" w:cs="Times New Roman" w:hint="eastAsia"/>
          <w:sz w:val="32"/>
          <w:szCs w:val="32"/>
        </w:rPr>
        <w:t>以村为单位分类推进农村人居环境整治，着力打造小组团、微景观、生态化、有特色的农村人居环境。</w:t>
      </w:r>
    </w:p>
    <w:p w:rsidR="00CD3279" w:rsidRPr="00C17999" w:rsidRDefault="00CD3279" w:rsidP="00CD3279">
      <w:pPr>
        <w:spacing w:line="600" w:lineRule="exact"/>
        <w:ind w:firstLineChars="200" w:firstLine="640"/>
        <w:rPr>
          <w:rFonts w:ascii="方正仿宋_GBK" w:eastAsia="方正仿宋_GBK" w:hAnsi="Times New Roman" w:cs="Times New Roman" w:hint="eastAsia"/>
          <w:sz w:val="32"/>
          <w:szCs w:val="32"/>
        </w:rPr>
      </w:pPr>
      <w:r w:rsidRPr="00C17999">
        <w:rPr>
          <w:rFonts w:ascii="方正仿宋_GBK" w:eastAsia="方正仿宋_GBK" w:hAnsi="Times New Roman" w:cs="Times New Roman" w:hint="eastAsia"/>
          <w:sz w:val="32"/>
          <w:szCs w:val="32"/>
        </w:rPr>
        <w:lastRenderedPageBreak/>
        <w:t>一档村的具体目标：农户卫生厕所普及率逐步提高；除少数偏远农户外，村、组生活垃圾收运处置体系基本实现全覆盖；生活污水乱排乱倒得到有效管控；人居环境干净整洁，村容村貌进一步提升。</w:t>
      </w:r>
    </w:p>
    <w:p w:rsidR="00CD3279" w:rsidRPr="00C17999" w:rsidRDefault="00CD3279" w:rsidP="00CD3279">
      <w:pPr>
        <w:spacing w:line="600" w:lineRule="exact"/>
        <w:ind w:firstLineChars="200" w:firstLine="640"/>
        <w:rPr>
          <w:rFonts w:ascii="方正仿宋_GBK" w:eastAsia="方正仿宋_GBK" w:hAnsi="Times New Roman" w:cs="Times New Roman" w:hint="eastAsia"/>
          <w:sz w:val="32"/>
          <w:szCs w:val="32"/>
        </w:rPr>
      </w:pPr>
      <w:r w:rsidRPr="00C17999">
        <w:rPr>
          <w:rFonts w:ascii="方正仿宋_GBK" w:eastAsia="方正仿宋_GBK" w:hAnsi="Times New Roman" w:cs="Times New Roman" w:hint="eastAsia"/>
          <w:sz w:val="32"/>
          <w:szCs w:val="32"/>
        </w:rPr>
        <w:t>二档村的具体目标：农户卫生厕所实现愿改尽改、能改尽改；村、组生活垃圾收运处置体系基本实现全覆盖；生活污水乱排乱放得到有效管控、治理成效明显；公共基础设施明显改善，村容村貌大幅提升；长效管护机制基本建立。</w:t>
      </w:r>
    </w:p>
    <w:p w:rsidR="00CD3279" w:rsidRPr="00C17999" w:rsidRDefault="00CD3279" w:rsidP="00CD3279">
      <w:pPr>
        <w:spacing w:line="600" w:lineRule="exact"/>
        <w:ind w:firstLineChars="200" w:firstLine="640"/>
        <w:rPr>
          <w:rFonts w:ascii="方正仿宋_GBK" w:eastAsia="方正仿宋_GBK" w:hAnsi="Times New Roman" w:cs="Times New Roman" w:hint="eastAsia"/>
          <w:sz w:val="32"/>
          <w:szCs w:val="32"/>
        </w:rPr>
      </w:pPr>
      <w:r w:rsidRPr="00C17999">
        <w:rPr>
          <w:rFonts w:ascii="方正仿宋_GBK" w:eastAsia="方正仿宋_GBK" w:hAnsi="Times New Roman" w:cs="Times New Roman" w:hint="eastAsia"/>
          <w:sz w:val="32"/>
          <w:szCs w:val="32"/>
        </w:rPr>
        <w:t>三档村的具体目标：农户卫生厕所基本普及，厕所粪污得到有效处理或资源化利用；村、组生活垃圾收运处置体系实现全覆盖；农村生活污水治理率明显提升，村内污水横流、乱排乱放情况基本消除；农村人居环境基础设施建设水平全面提高，村容村貌显著提升；长效管护机制全面建立。</w:t>
      </w:r>
    </w:p>
    <w:p w:rsidR="00CD3279" w:rsidRPr="00C17999" w:rsidRDefault="00CD3279" w:rsidP="005675F0">
      <w:pPr>
        <w:ind w:firstLineChars="200" w:firstLine="640"/>
        <w:rPr>
          <w:rFonts w:ascii="方正仿宋_GBK" w:eastAsia="方正仿宋_GBK" w:hAnsi="Times New Roman" w:cs="Times New Roman" w:hint="eastAsia"/>
          <w:sz w:val="32"/>
          <w:szCs w:val="32"/>
        </w:rPr>
      </w:pPr>
      <w:r w:rsidRPr="00C17999">
        <w:rPr>
          <w:rFonts w:ascii="方正仿宋_GBK" w:eastAsia="方正仿宋_GBK" w:hAnsi="Times New Roman" w:cs="Times New Roman" w:hint="eastAsia"/>
          <w:sz w:val="32"/>
          <w:szCs w:val="32"/>
        </w:rPr>
        <w:t>到2025年，全区农村人居环境一档村40个，占比11%：二档村205个、占比57%；三档村116个，占比32%。</w:t>
      </w:r>
    </w:p>
    <w:p w:rsidR="00273B87" w:rsidRPr="00C17999" w:rsidRDefault="00273B87" w:rsidP="00273B87">
      <w:pPr>
        <w:rPr>
          <w:rFonts w:ascii="方正仿宋_GBK" w:eastAsia="方正仿宋_GBK" w:hAnsi="Times New Roman" w:cs="Times New Roman" w:hint="eastAsia"/>
          <w:sz w:val="32"/>
          <w:szCs w:val="32"/>
        </w:rPr>
      </w:pPr>
    </w:p>
    <w:p w:rsidR="00273B87" w:rsidRPr="005675F0" w:rsidRDefault="00273B87" w:rsidP="00273B87">
      <w:pPr>
        <w:rPr>
          <w:rFonts w:ascii="方正仿宋_GBK" w:eastAsia="方正仿宋_GBK" w:hAnsi="Times New Roman" w:cs="Times New Roman" w:hint="eastAsia"/>
          <w:b/>
          <w:sz w:val="32"/>
          <w:szCs w:val="32"/>
          <w:u w:val="single"/>
        </w:rPr>
      </w:pPr>
      <w:r w:rsidRPr="005675F0">
        <w:rPr>
          <w:rFonts w:ascii="方正仿宋_GBK" w:eastAsia="方正仿宋_GBK" w:hAnsi="Times New Roman" w:cs="Times New Roman" w:hint="eastAsia"/>
          <w:b/>
          <w:sz w:val="32"/>
          <w:szCs w:val="32"/>
          <w:u w:val="single"/>
        </w:rPr>
        <w:t>乡村治理积分制</w:t>
      </w:r>
    </w:p>
    <w:p w:rsidR="000E076A" w:rsidRPr="00C17999" w:rsidRDefault="000E076A"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近期走访了</w:t>
      </w:r>
      <w:r w:rsidR="009423EB" w:rsidRPr="00C17999">
        <w:rPr>
          <w:rFonts w:ascii="方正仿宋_GBK" w:eastAsia="方正仿宋_GBK" w:hint="eastAsia"/>
          <w:sz w:val="32"/>
          <w:szCs w:val="32"/>
        </w:rPr>
        <w:t>十来个</w:t>
      </w:r>
      <w:r w:rsidRPr="00C17999">
        <w:rPr>
          <w:rFonts w:ascii="方正仿宋_GBK" w:eastAsia="方正仿宋_GBK" w:hint="eastAsia"/>
          <w:sz w:val="32"/>
          <w:szCs w:val="32"/>
        </w:rPr>
        <w:t>乡镇</w:t>
      </w:r>
      <w:r w:rsidR="009423EB" w:rsidRPr="00C17999">
        <w:rPr>
          <w:rFonts w:ascii="方正仿宋_GBK" w:eastAsia="方正仿宋_GBK" w:hint="eastAsia"/>
          <w:sz w:val="32"/>
          <w:szCs w:val="32"/>
        </w:rPr>
        <w:t>街道，</w:t>
      </w:r>
      <w:r w:rsidRPr="00C17999">
        <w:rPr>
          <w:rFonts w:ascii="方正仿宋_GBK" w:eastAsia="方正仿宋_GBK" w:hint="eastAsia"/>
          <w:sz w:val="32"/>
          <w:szCs w:val="32"/>
        </w:rPr>
        <w:t>调查了解乡村治理积分制推广运用情况，</w:t>
      </w:r>
      <w:r w:rsidR="009423EB" w:rsidRPr="00C17999">
        <w:rPr>
          <w:rFonts w:ascii="方正仿宋_GBK" w:eastAsia="方正仿宋_GBK" w:hint="eastAsia"/>
          <w:sz w:val="32"/>
          <w:szCs w:val="32"/>
        </w:rPr>
        <w:t>总体来说，大多数镇村</w:t>
      </w:r>
      <w:r w:rsidRPr="00C17999">
        <w:rPr>
          <w:rFonts w:ascii="方正仿宋_GBK" w:eastAsia="方正仿宋_GBK" w:hint="eastAsia"/>
          <w:sz w:val="32"/>
          <w:szCs w:val="32"/>
        </w:rPr>
        <w:t>工作积极，及时谋划部署，结合当前工作有序开展积分制运用</w:t>
      </w:r>
      <w:r w:rsidR="009423EB" w:rsidRPr="00C17999">
        <w:rPr>
          <w:rFonts w:ascii="方正仿宋_GBK" w:eastAsia="方正仿宋_GBK" w:hint="eastAsia"/>
          <w:sz w:val="32"/>
          <w:szCs w:val="32"/>
        </w:rPr>
        <w:t>。</w:t>
      </w:r>
      <w:r w:rsidRPr="00C17999">
        <w:rPr>
          <w:rFonts w:ascii="方正仿宋_GBK" w:eastAsia="方正仿宋_GBK" w:hint="eastAsia"/>
          <w:sz w:val="32"/>
          <w:szCs w:val="32"/>
        </w:rPr>
        <w:t>如</w:t>
      </w:r>
      <w:r w:rsidR="009423EB" w:rsidRPr="00C17999">
        <w:rPr>
          <w:rFonts w:ascii="方正仿宋_GBK" w:eastAsia="方正仿宋_GBK" w:hint="eastAsia"/>
          <w:sz w:val="32"/>
          <w:szCs w:val="32"/>
        </w:rPr>
        <w:t>：马武、焦石等镇主要领导高度重视，亲自带队考察学习及时研究部署。</w:t>
      </w:r>
      <w:r w:rsidRPr="00C17999">
        <w:rPr>
          <w:rFonts w:ascii="方正仿宋_GBK" w:eastAsia="方正仿宋_GBK" w:hint="eastAsia"/>
          <w:sz w:val="32"/>
          <w:szCs w:val="32"/>
        </w:rPr>
        <w:t>罗云乡老龙洞村结合新时代文明实践职员服务活动开展积分制，形成一套有效的积</w:t>
      </w:r>
      <w:r w:rsidRPr="00C17999">
        <w:rPr>
          <w:rFonts w:ascii="方正仿宋_GBK" w:eastAsia="方正仿宋_GBK" w:hint="eastAsia"/>
          <w:sz w:val="32"/>
          <w:szCs w:val="32"/>
        </w:rPr>
        <w:lastRenderedPageBreak/>
        <w:t>分规则和兑换办法，调动村民参与文明实践活动的积极性；龙潭镇大同村通过党建引领，制定党员日常考核积分制管理规则，推动党员联系服务落细落实，教育引导党员创先争优，同时结合人居环境整治工作制作公示栏，及时公示评分情况</w:t>
      </w:r>
      <w:r w:rsidR="009423EB" w:rsidRPr="00C17999">
        <w:rPr>
          <w:rFonts w:ascii="方正仿宋_GBK" w:eastAsia="方正仿宋_GBK" w:hint="eastAsia"/>
          <w:sz w:val="32"/>
          <w:szCs w:val="32"/>
        </w:rPr>
        <w:t>。</w:t>
      </w:r>
    </w:p>
    <w:p w:rsidR="00273B87" w:rsidRPr="00C17999" w:rsidRDefault="00273B87" w:rsidP="00273B87">
      <w:pPr>
        <w:rPr>
          <w:rFonts w:ascii="方正仿宋_GBK" w:eastAsia="方正仿宋_GBK" w:hint="eastAsia"/>
          <w:b/>
          <w:bCs/>
          <w:sz w:val="32"/>
          <w:szCs w:val="32"/>
        </w:rPr>
      </w:pPr>
    </w:p>
    <w:p w:rsidR="00273B87" w:rsidRPr="00C17999" w:rsidRDefault="00273B87" w:rsidP="00273B87">
      <w:pPr>
        <w:rPr>
          <w:rFonts w:ascii="方正仿宋_GBK" w:eastAsia="方正仿宋_GBK" w:hint="eastAsia"/>
          <w:sz w:val="32"/>
          <w:szCs w:val="32"/>
        </w:rPr>
      </w:pPr>
      <w:r w:rsidRPr="00C17999">
        <w:rPr>
          <w:rFonts w:ascii="方正仿宋_GBK" w:eastAsia="方正仿宋_GBK" w:hint="eastAsia"/>
          <w:b/>
          <w:bCs/>
          <w:sz w:val="32"/>
          <w:szCs w:val="32"/>
        </w:rPr>
        <w:t>推广运用乡村治理积分制的重要意义</w:t>
      </w:r>
    </w:p>
    <w:p w:rsidR="00273B87" w:rsidRPr="00C17999" w:rsidRDefault="00273B87"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全面推行乡村治理积分制是加强基层治理体系和治理能力现代化建设，加快推动乡村善治，着力构建共建共享乡村治理新格局的一项重要举措。</w:t>
      </w:r>
    </w:p>
    <w:p w:rsidR="00273B87" w:rsidRPr="00C17999" w:rsidRDefault="00273B87"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（1）有利于增强基层党组织的领导作用，持续推动农村基层党组织联系和服务群众常态化、长效化，增强党组织凝聚力、战斗力。</w:t>
      </w:r>
    </w:p>
    <w:p w:rsidR="00273B87" w:rsidRPr="00C17999" w:rsidRDefault="00273B87"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（2）有利于推动乡村振兴重点工作，统筹推动乡村治理、乡村建设、农村人居环境整治、农村产业发展、生态环境保护等乡村振兴重点任务落细。</w:t>
      </w:r>
    </w:p>
    <w:p w:rsidR="00273B87" w:rsidRPr="00C17999" w:rsidRDefault="00273B87" w:rsidP="005675F0">
      <w:pPr>
        <w:ind w:firstLineChars="200" w:firstLine="640"/>
        <w:rPr>
          <w:rFonts w:ascii="方正仿宋_GBK" w:eastAsia="方正仿宋_GBK" w:hint="eastAsia"/>
          <w:sz w:val="32"/>
          <w:szCs w:val="32"/>
        </w:rPr>
      </w:pPr>
      <w:r w:rsidRPr="00C17999">
        <w:rPr>
          <w:rFonts w:ascii="方正仿宋_GBK" w:eastAsia="方正仿宋_GBK" w:hint="eastAsia"/>
          <w:sz w:val="32"/>
          <w:szCs w:val="32"/>
        </w:rPr>
        <w:t>（3）有利于提高农民群众参与乡村治理的积极性，把一家一户组织起来，实现纷繁复杂村级事务的标准化、具体化，让乡村治理工作可量化、有抓手，推动信用体系建设，激发群众内生动力。</w:t>
      </w:r>
    </w:p>
    <w:p w:rsidR="00273B87" w:rsidRPr="00C17999" w:rsidRDefault="00273B87" w:rsidP="000E076A">
      <w:pPr>
        <w:rPr>
          <w:rFonts w:ascii="方正仿宋_GBK" w:eastAsia="方正仿宋_GBK" w:hint="eastAsia"/>
          <w:sz w:val="32"/>
          <w:szCs w:val="32"/>
        </w:rPr>
      </w:pPr>
    </w:p>
    <w:p w:rsidR="00CD3279" w:rsidRPr="00C17999" w:rsidRDefault="00CD3279" w:rsidP="00CD3279">
      <w:pPr>
        <w:rPr>
          <w:rFonts w:ascii="方正仿宋_GBK" w:eastAsia="方正仿宋_GBK" w:hint="eastAsia"/>
          <w:sz w:val="32"/>
          <w:szCs w:val="32"/>
        </w:rPr>
      </w:pPr>
    </w:p>
    <w:sectPr w:rsidR="00CD3279" w:rsidRPr="00C17999" w:rsidSect="00C17999">
      <w:pgSz w:w="11906" w:h="16838"/>
      <w:pgMar w:top="1440" w:right="1474"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CED" w:rsidRDefault="00943CED" w:rsidP="00D256A9">
      <w:r>
        <w:separator/>
      </w:r>
    </w:p>
  </w:endnote>
  <w:endnote w:type="continuationSeparator" w:id="1">
    <w:p w:rsidR="00943CED" w:rsidRDefault="00943CED" w:rsidP="00D256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Arial Unicode MS"/>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CED" w:rsidRDefault="00943CED" w:rsidP="00D256A9">
      <w:r>
        <w:separator/>
      </w:r>
    </w:p>
  </w:footnote>
  <w:footnote w:type="continuationSeparator" w:id="1">
    <w:p w:rsidR="00943CED" w:rsidRDefault="00943CED" w:rsidP="00D256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1A657CE"/>
    <w:rsid w:val="000E076A"/>
    <w:rsid w:val="00273B87"/>
    <w:rsid w:val="005675F0"/>
    <w:rsid w:val="005E2967"/>
    <w:rsid w:val="00702F52"/>
    <w:rsid w:val="009423EB"/>
    <w:rsid w:val="00943CED"/>
    <w:rsid w:val="00A40323"/>
    <w:rsid w:val="00AD47E0"/>
    <w:rsid w:val="00C17999"/>
    <w:rsid w:val="00CD3279"/>
    <w:rsid w:val="00D256A9"/>
    <w:rsid w:val="00DF1E0D"/>
    <w:rsid w:val="061B5DC9"/>
    <w:rsid w:val="0D1E3107"/>
    <w:rsid w:val="0F6E574A"/>
    <w:rsid w:val="41A657CE"/>
    <w:rsid w:val="6DCC7F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2F52"/>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256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256A9"/>
    <w:rPr>
      <w:kern w:val="2"/>
      <w:sz w:val="18"/>
      <w:szCs w:val="18"/>
    </w:rPr>
  </w:style>
  <w:style w:type="paragraph" w:styleId="a4">
    <w:name w:val="footer"/>
    <w:basedOn w:val="a"/>
    <w:link w:val="Char0"/>
    <w:rsid w:val="00D256A9"/>
    <w:pPr>
      <w:tabs>
        <w:tab w:val="center" w:pos="4153"/>
        <w:tab w:val="right" w:pos="8306"/>
      </w:tabs>
      <w:snapToGrid w:val="0"/>
      <w:jc w:val="left"/>
    </w:pPr>
    <w:rPr>
      <w:sz w:val="18"/>
      <w:szCs w:val="18"/>
    </w:rPr>
  </w:style>
  <w:style w:type="character" w:customStyle="1" w:styleId="Char0">
    <w:name w:val="页脚 Char"/>
    <w:basedOn w:val="a0"/>
    <w:link w:val="a4"/>
    <w:rsid w:val="00D256A9"/>
    <w:rPr>
      <w:kern w:val="2"/>
      <w:sz w:val="18"/>
      <w:szCs w:val="18"/>
    </w:rPr>
  </w:style>
</w:styles>
</file>

<file path=word/webSettings.xml><?xml version="1.0" encoding="utf-8"?>
<w:webSettings xmlns:r="http://schemas.openxmlformats.org/officeDocument/2006/relationships" xmlns:w="http://schemas.openxmlformats.org/wordprocessingml/2006/main">
  <w:divs>
    <w:div w:id="316342836">
      <w:bodyDiv w:val="1"/>
      <w:marLeft w:val="0"/>
      <w:marRight w:val="0"/>
      <w:marTop w:val="0"/>
      <w:marBottom w:val="0"/>
      <w:divBdr>
        <w:top w:val="none" w:sz="0" w:space="0" w:color="auto"/>
        <w:left w:val="none" w:sz="0" w:space="0" w:color="auto"/>
        <w:bottom w:val="none" w:sz="0" w:space="0" w:color="auto"/>
        <w:right w:val="none" w:sz="0" w:space="0" w:color="auto"/>
      </w:divBdr>
    </w:div>
    <w:div w:id="456536018">
      <w:bodyDiv w:val="1"/>
      <w:marLeft w:val="0"/>
      <w:marRight w:val="0"/>
      <w:marTop w:val="0"/>
      <w:marBottom w:val="0"/>
      <w:divBdr>
        <w:top w:val="none" w:sz="0" w:space="0" w:color="auto"/>
        <w:left w:val="none" w:sz="0" w:space="0" w:color="auto"/>
        <w:bottom w:val="none" w:sz="0" w:space="0" w:color="auto"/>
        <w:right w:val="none" w:sz="0" w:space="0" w:color="auto"/>
      </w:divBdr>
    </w:div>
    <w:div w:id="498233776">
      <w:bodyDiv w:val="1"/>
      <w:marLeft w:val="0"/>
      <w:marRight w:val="0"/>
      <w:marTop w:val="0"/>
      <w:marBottom w:val="0"/>
      <w:divBdr>
        <w:top w:val="none" w:sz="0" w:space="0" w:color="auto"/>
        <w:left w:val="none" w:sz="0" w:space="0" w:color="auto"/>
        <w:bottom w:val="none" w:sz="0" w:space="0" w:color="auto"/>
        <w:right w:val="none" w:sz="0" w:space="0" w:color="auto"/>
      </w:divBdr>
    </w:div>
    <w:div w:id="751198291">
      <w:bodyDiv w:val="1"/>
      <w:marLeft w:val="0"/>
      <w:marRight w:val="0"/>
      <w:marTop w:val="0"/>
      <w:marBottom w:val="0"/>
      <w:divBdr>
        <w:top w:val="none" w:sz="0" w:space="0" w:color="auto"/>
        <w:left w:val="none" w:sz="0" w:space="0" w:color="auto"/>
        <w:bottom w:val="none" w:sz="0" w:space="0" w:color="auto"/>
        <w:right w:val="none" w:sz="0" w:space="0" w:color="auto"/>
      </w:divBdr>
    </w:div>
    <w:div w:id="782379636">
      <w:bodyDiv w:val="1"/>
      <w:marLeft w:val="0"/>
      <w:marRight w:val="0"/>
      <w:marTop w:val="0"/>
      <w:marBottom w:val="0"/>
      <w:divBdr>
        <w:top w:val="none" w:sz="0" w:space="0" w:color="auto"/>
        <w:left w:val="none" w:sz="0" w:space="0" w:color="auto"/>
        <w:bottom w:val="none" w:sz="0" w:space="0" w:color="auto"/>
        <w:right w:val="none" w:sz="0" w:space="0" w:color="auto"/>
      </w:divBdr>
    </w:div>
    <w:div w:id="1120798825">
      <w:bodyDiv w:val="1"/>
      <w:marLeft w:val="0"/>
      <w:marRight w:val="0"/>
      <w:marTop w:val="0"/>
      <w:marBottom w:val="0"/>
      <w:divBdr>
        <w:top w:val="none" w:sz="0" w:space="0" w:color="auto"/>
        <w:left w:val="none" w:sz="0" w:space="0" w:color="auto"/>
        <w:bottom w:val="none" w:sz="0" w:space="0" w:color="auto"/>
        <w:right w:val="none" w:sz="0" w:space="0" w:color="auto"/>
      </w:divBdr>
    </w:div>
    <w:div w:id="1197355706">
      <w:bodyDiv w:val="1"/>
      <w:marLeft w:val="0"/>
      <w:marRight w:val="0"/>
      <w:marTop w:val="0"/>
      <w:marBottom w:val="0"/>
      <w:divBdr>
        <w:top w:val="none" w:sz="0" w:space="0" w:color="auto"/>
        <w:left w:val="none" w:sz="0" w:space="0" w:color="auto"/>
        <w:bottom w:val="none" w:sz="0" w:space="0" w:color="auto"/>
        <w:right w:val="none" w:sz="0" w:space="0" w:color="auto"/>
      </w:divBdr>
    </w:div>
    <w:div w:id="1294286935">
      <w:bodyDiv w:val="1"/>
      <w:marLeft w:val="0"/>
      <w:marRight w:val="0"/>
      <w:marTop w:val="0"/>
      <w:marBottom w:val="0"/>
      <w:divBdr>
        <w:top w:val="none" w:sz="0" w:space="0" w:color="auto"/>
        <w:left w:val="none" w:sz="0" w:space="0" w:color="auto"/>
        <w:bottom w:val="none" w:sz="0" w:space="0" w:color="auto"/>
        <w:right w:val="none" w:sz="0" w:space="0" w:color="auto"/>
      </w:divBdr>
    </w:div>
    <w:div w:id="1650746613">
      <w:bodyDiv w:val="1"/>
      <w:marLeft w:val="0"/>
      <w:marRight w:val="0"/>
      <w:marTop w:val="0"/>
      <w:marBottom w:val="0"/>
      <w:divBdr>
        <w:top w:val="none" w:sz="0" w:space="0" w:color="auto"/>
        <w:left w:val="none" w:sz="0" w:space="0" w:color="auto"/>
        <w:bottom w:val="none" w:sz="0" w:space="0" w:color="auto"/>
        <w:right w:val="none" w:sz="0" w:space="0" w:color="auto"/>
      </w:divBdr>
    </w:div>
    <w:div w:id="1786654714">
      <w:bodyDiv w:val="1"/>
      <w:marLeft w:val="0"/>
      <w:marRight w:val="0"/>
      <w:marTop w:val="0"/>
      <w:marBottom w:val="0"/>
      <w:divBdr>
        <w:top w:val="none" w:sz="0" w:space="0" w:color="auto"/>
        <w:left w:val="none" w:sz="0" w:space="0" w:color="auto"/>
        <w:bottom w:val="none" w:sz="0" w:space="0" w:color="auto"/>
        <w:right w:val="none" w:sz="0" w:space="0" w:color="auto"/>
      </w:divBdr>
    </w:div>
    <w:div w:id="2008819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622</Words>
  <Characters>3552</Characters>
  <Application>Microsoft Office Word</Application>
  <DocSecurity>0</DocSecurity>
  <Lines>29</Lines>
  <Paragraphs>8</Paragraphs>
  <ScaleCrop>false</ScaleCrop>
  <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耕耘者</dc:creator>
  <cp:lastModifiedBy>Administrator</cp:lastModifiedBy>
  <cp:revision>5</cp:revision>
  <dcterms:created xsi:type="dcterms:W3CDTF">2022-04-23T02:37:00Z</dcterms:created>
  <dcterms:modified xsi:type="dcterms:W3CDTF">2022-04-24T08:58:00Z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D58C4DA13ECD427EB9A4D0636A44959E</vt:lpwstr>
  </property>
</Properties>
</file>